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9A9" w:rsidRPr="00547EBD" w:rsidRDefault="000659A9" w:rsidP="000659A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47EBD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659A9" w:rsidRPr="00547EBD" w:rsidRDefault="000659A9" w:rsidP="000659A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47EBD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659A9" w:rsidRPr="00547EBD" w:rsidRDefault="000659A9" w:rsidP="000659A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47EBD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659A9" w:rsidRPr="00547EBD" w:rsidRDefault="000659A9" w:rsidP="000659A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47EBD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659A9" w:rsidRPr="00547EBD" w:rsidRDefault="000659A9" w:rsidP="000659A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16E39" w:rsidRPr="00547EBD" w:rsidRDefault="00C16E39" w:rsidP="00C16E39">
      <w:pPr>
        <w:rPr>
          <w:rFonts w:ascii="Times New Roman" w:hAnsi="Times New Roman"/>
          <w:sz w:val="24"/>
          <w:szCs w:val="24"/>
        </w:rPr>
      </w:pPr>
      <w:r w:rsidRPr="00547EBD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0659A9" w:rsidRPr="00547EBD" w:rsidRDefault="000659A9" w:rsidP="000659A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74A2F" w:rsidRPr="00547EBD" w:rsidRDefault="00174A2F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174A2F" w:rsidRPr="00547EBD" w:rsidRDefault="00174A2F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547EBD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174A2F" w:rsidRPr="00547EBD" w:rsidRDefault="00174A2F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547EBD">
        <w:rPr>
          <w:sz w:val="24"/>
        </w:rPr>
        <w:t xml:space="preserve">Название: Лечение ожирения. </w:t>
      </w:r>
    </w:p>
    <w:p w:rsidR="00547EBD" w:rsidRPr="00547EBD" w:rsidRDefault="00174A2F" w:rsidP="00547EBD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47EBD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547EBD" w:rsidRPr="00547EBD">
        <w:rPr>
          <w:rFonts w:ascii="Times New Roman" w:hAnsi="Times New Roman"/>
          <w:sz w:val="24"/>
          <w:szCs w:val="24"/>
        </w:rPr>
        <w:t>11.5.</w:t>
      </w:r>
    </w:p>
    <w:p w:rsidR="00174A2F" w:rsidRPr="00547EBD" w:rsidRDefault="00174A2F" w:rsidP="00547EBD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47EBD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547EBD" w:rsidRPr="00547EBD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Pr="00547EBD">
        <w:rPr>
          <w:rFonts w:ascii="Times New Roman" w:hAnsi="Times New Roman"/>
          <w:sz w:val="24"/>
          <w:szCs w:val="24"/>
        </w:rPr>
        <w:t>«</w:t>
      </w:r>
      <w:r w:rsidR="00547EBD" w:rsidRPr="00547EBD">
        <w:rPr>
          <w:rFonts w:ascii="Times New Roman" w:hAnsi="Times New Roman"/>
          <w:sz w:val="24"/>
          <w:szCs w:val="24"/>
        </w:rPr>
        <w:t>Э</w:t>
      </w:r>
      <w:r w:rsidRPr="00547EBD">
        <w:rPr>
          <w:rFonts w:ascii="Times New Roman" w:hAnsi="Times New Roman"/>
          <w:sz w:val="24"/>
          <w:szCs w:val="24"/>
        </w:rPr>
        <w:t>ндокринология»</w:t>
      </w:r>
    </w:p>
    <w:p w:rsidR="00174A2F" w:rsidRPr="00547EBD" w:rsidRDefault="00174A2F" w:rsidP="00547EBD">
      <w:pPr>
        <w:pStyle w:val="a8"/>
        <w:numPr>
          <w:ilvl w:val="1"/>
          <w:numId w:val="1"/>
        </w:numPr>
        <w:tabs>
          <w:tab w:val="num" w:pos="0"/>
        </w:tabs>
        <w:ind w:left="0" w:firstLine="720"/>
        <w:rPr>
          <w:rFonts w:ascii="Times New Roman" w:hAnsi="Times New Roman"/>
          <w:sz w:val="24"/>
          <w:szCs w:val="24"/>
        </w:rPr>
      </w:pPr>
      <w:r w:rsidRPr="00547EBD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547EBD" w:rsidRPr="00547EBD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174A2F" w:rsidRPr="00547EBD" w:rsidRDefault="00174A2F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47EBD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174A2F" w:rsidRPr="00547EBD" w:rsidRDefault="00174A2F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547EBD">
        <w:rPr>
          <w:sz w:val="24"/>
        </w:rPr>
        <w:t>Цель: рассмотреть и обсудить современные данные по  лечению ожирения.</w:t>
      </w:r>
    </w:p>
    <w:p w:rsidR="00174A2F" w:rsidRPr="00547EBD" w:rsidRDefault="00174A2F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547EBD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547EBD">
        <w:rPr>
          <w:rFonts w:ascii="Times New Roman" w:hAnsi="Times New Roman"/>
          <w:sz w:val="24"/>
          <w:szCs w:val="24"/>
        </w:rPr>
        <w:t xml:space="preserve"> </w:t>
      </w:r>
    </w:p>
    <w:p w:rsidR="00547EBD" w:rsidRPr="00547EBD" w:rsidRDefault="00174A2F" w:rsidP="00547EBD">
      <w:pPr>
        <w:pStyle w:val="a8"/>
        <w:ind w:left="928"/>
        <w:rPr>
          <w:rFonts w:ascii="Times New Roman" w:hAnsi="Times New Roman"/>
          <w:sz w:val="24"/>
          <w:szCs w:val="24"/>
        </w:rPr>
      </w:pPr>
      <w:r w:rsidRPr="00547EBD">
        <w:rPr>
          <w:rFonts w:ascii="Times New Roman" w:hAnsi="Times New Roman"/>
          <w:color w:val="000000"/>
          <w:spacing w:val="-1"/>
          <w:sz w:val="24"/>
          <w:szCs w:val="24"/>
        </w:rPr>
        <w:t xml:space="preserve">Основные принципы и цели терапии. Немедикаментозные методы. </w:t>
      </w:r>
      <w:r w:rsidRPr="00547EBD">
        <w:rPr>
          <w:rFonts w:ascii="Times New Roman" w:hAnsi="Times New Roman"/>
          <w:color w:val="000000"/>
          <w:spacing w:val="-2"/>
          <w:sz w:val="24"/>
          <w:szCs w:val="24"/>
        </w:rPr>
        <w:t xml:space="preserve">Изменение привычного стереотипа питания </w:t>
      </w:r>
      <w:r w:rsidRPr="00547EBD">
        <w:rPr>
          <w:rFonts w:ascii="Times New Roman" w:hAnsi="Times New Roman"/>
          <w:color w:val="000000"/>
          <w:spacing w:val="1"/>
          <w:sz w:val="24"/>
          <w:szCs w:val="24"/>
        </w:rPr>
        <w:t xml:space="preserve">(умеренно гипокалорийные, гипожировые, </w:t>
      </w:r>
      <w:r w:rsidRPr="00547EBD">
        <w:rPr>
          <w:rFonts w:ascii="Times New Roman" w:hAnsi="Times New Roman"/>
          <w:color w:val="000000"/>
          <w:spacing w:val="-1"/>
          <w:sz w:val="24"/>
          <w:szCs w:val="24"/>
        </w:rPr>
        <w:t xml:space="preserve">гипохолестериновые и др. виды диет). </w:t>
      </w:r>
      <w:r w:rsidRPr="00547EBD">
        <w:rPr>
          <w:rFonts w:ascii="Times New Roman" w:hAnsi="Times New Roman"/>
          <w:color w:val="000000"/>
          <w:spacing w:val="-2"/>
          <w:sz w:val="24"/>
          <w:szCs w:val="24"/>
        </w:rPr>
        <w:t xml:space="preserve">Поведенческая терапия. </w:t>
      </w:r>
      <w:r w:rsidRPr="00547EBD">
        <w:rPr>
          <w:rFonts w:ascii="Times New Roman" w:hAnsi="Times New Roman"/>
          <w:color w:val="000000"/>
          <w:spacing w:val="-1"/>
          <w:sz w:val="24"/>
          <w:szCs w:val="24"/>
        </w:rPr>
        <w:t>Рациональное увеличение физической ак</w:t>
      </w:r>
      <w:r w:rsidRPr="00547EB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47EBD">
        <w:rPr>
          <w:rFonts w:ascii="Times New Roman" w:hAnsi="Times New Roman"/>
          <w:color w:val="000000"/>
          <w:sz w:val="24"/>
          <w:szCs w:val="24"/>
        </w:rPr>
        <w:t xml:space="preserve">тивности (длительность, интенсивность, регулярность и др.). </w:t>
      </w:r>
      <w:r w:rsidRPr="00547EBD">
        <w:rPr>
          <w:rFonts w:ascii="Times New Roman" w:hAnsi="Times New Roman"/>
          <w:color w:val="000000"/>
          <w:spacing w:val="-2"/>
          <w:sz w:val="24"/>
          <w:szCs w:val="24"/>
        </w:rPr>
        <w:t xml:space="preserve">Психотерапевтические методы. Физиотерапевтические методы. </w:t>
      </w:r>
      <w:r w:rsidRPr="00547EBD">
        <w:rPr>
          <w:rFonts w:ascii="Times New Roman" w:hAnsi="Times New Roman"/>
          <w:color w:val="000000"/>
          <w:spacing w:val="-3"/>
          <w:sz w:val="24"/>
          <w:szCs w:val="24"/>
        </w:rPr>
        <w:t xml:space="preserve">Массаж. </w:t>
      </w:r>
      <w:r w:rsidRPr="00547EBD">
        <w:rPr>
          <w:rFonts w:ascii="Times New Roman" w:hAnsi="Times New Roman"/>
          <w:color w:val="000000"/>
          <w:spacing w:val="-2"/>
          <w:sz w:val="24"/>
          <w:szCs w:val="24"/>
        </w:rPr>
        <w:t xml:space="preserve">Роль лечебной физкультуры. </w:t>
      </w:r>
      <w:r w:rsidRPr="00547EBD">
        <w:rPr>
          <w:rFonts w:ascii="Times New Roman" w:hAnsi="Times New Roman"/>
          <w:color w:val="000000"/>
          <w:spacing w:val="-1"/>
          <w:sz w:val="24"/>
          <w:szCs w:val="24"/>
        </w:rPr>
        <w:t>Медикаментозные методы. Показания, про</w:t>
      </w:r>
      <w:r w:rsidRPr="00547EBD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тивопоказания. </w:t>
      </w:r>
      <w:r w:rsidRPr="00547EBD">
        <w:rPr>
          <w:rFonts w:ascii="Times New Roman" w:hAnsi="Times New Roman"/>
          <w:color w:val="000000"/>
          <w:sz w:val="24"/>
          <w:szCs w:val="24"/>
        </w:rPr>
        <w:t xml:space="preserve">Препараты центрального действия (виды, </w:t>
      </w:r>
      <w:r w:rsidRPr="00547EBD">
        <w:rPr>
          <w:rFonts w:ascii="Times New Roman" w:hAnsi="Times New Roman"/>
          <w:color w:val="000000"/>
          <w:spacing w:val="-1"/>
          <w:sz w:val="24"/>
          <w:szCs w:val="24"/>
        </w:rPr>
        <w:t>механизм действия, дозы, длительность те</w:t>
      </w:r>
      <w:r w:rsidRPr="00547EB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47EBD">
        <w:rPr>
          <w:rFonts w:ascii="Times New Roman" w:hAnsi="Times New Roman"/>
          <w:color w:val="000000"/>
          <w:sz w:val="24"/>
          <w:szCs w:val="24"/>
        </w:rPr>
        <w:t xml:space="preserve">рапии, побочные реакции). </w:t>
      </w:r>
      <w:r w:rsidRPr="00547EBD">
        <w:rPr>
          <w:rFonts w:ascii="Times New Roman" w:hAnsi="Times New Roman"/>
          <w:color w:val="000000"/>
          <w:spacing w:val="4"/>
          <w:sz w:val="24"/>
          <w:szCs w:val="24"/>
        </w:rPr>
        <w:t>Препараты периферического действия (ви</w:t>
      </w:r>
      <w:r w:rsidRPr="00547EBD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547EBD">
        <w:rPr>
          <w:rFonts w:ascii="Times New Roman" w:hAnsi="Times New Roman"/>
          <w:color w:val="000000"/>
          <w:spacing w:val="2"/>
          <w:sz w:val="24"/>
          <w:szCs w:val="24"/>
        </w:rPr>
        <w:t xml:space="preserve">ды, механизм действия, дозы, длительность </w:t>
      </w:r>
      <w:r w:rsidRPr="00547EBD">
        <w:rPr>
          <w:rFonts w:ascii="Times New Roman" w:hAnsi="Times New Roman"/>
          <w:color w:val="000000"/>
          <w:sz w:val="24"/>
          <w:szCs w:val="24"/>
        </w:rPr>
        <w:t xml:space="preserve">терапии, побочные реакции). </w:t>
      </w:r>
      <w:r w:rsidRPr="00547EBD">
        <w:rPr>
          <w:rFonts w:ascii="Times New Roman" w:hAnsi="Times New Roman"/>
          <w:color w:val="000000"/>
          <w:spacing w:val="-1"/>
          <w:sz w:val="24"/>
          <w:szCs w:val="24"/>
        </w:rPr>
        <w:t xml:space="preserve">Препараты для коррекции ожирения как </w:t>
      </w:r>
      <w:r w:rsidRPr="00547EBD">
        <w:rPr>
          <w:rFonts w:ascii="Times New Roman" w:hAnsi="Times New Roman"/>
          <w:color w:val="000000"/>
          <w:sz w:val="24"/>
          <w:szCs w:val="24"/>
        </w:rPr>
        <w:t xml:space="preserve">компонента метаболического синдрома. </w:t>
      </w:r>
      <w:r w:rsidRPr="00547EBD">
        <w:rPr>
          <w:rFonts w:ascii="Times New Roman" w:hAnsi="Times New Roman"/>
          <w:color w:val="000000"/>
          <w:spacing w:val="4"/>
          <w:sz w:val="24"/>
          <w:szCs w:val="24"/>
        </w:rPr>
        <w:t>Ингибитор альфа-глюкозидазы - глюкобай (показания, механизм действия, схема тит-</w:t>
      </w:r>
      <w:r w:rsidRPr="00547EBD">
        <w:rPr>
          <w:rFonts w:ascii="Times New Roman" w:hAnsi="Times New Roman"/>
          <w:color w:val="000000"/>
          <w:sz w:val="24"/>
          <w:szCs w:val="24"/>
        </w:rPr>
        <w:t xml:space="preserve">рации дозы, побочные реакции). </w:t>
      </w:r>
      <w:r w:rsidRPr="00547EBD">
        <w:rPr>
          <w:rFonts w:ascii="Times New Roman" w:hAnsi="Times New Roman"/>
          <w:color w:val="000000"/>
          <w:spacing w:val="1"/>
          <w:sz w:val="24"/>
          <w:szCs w:val="24"/>
        </w:rPr>
        <w:t xml:space="preserve">Метформин (показания, механизм действия, </w:t>
      </w:r>
      <w:r w:rsidRPr="00547EBD">
        <w:rPr>
          <w:rFonts w:ascii="Times New Roman" w:hAnsi="Times New Roman"/>
          <w:color w:val="000000"/>
          <w:sz w:val="24"/>
          <w:szCs w:val="24"/>
        </w:rPr>
        <w:t xml:space="preserve">дозы, побочные реакции). </w:t>
      </w:r>
      <w:r w:rsidRPr="00547EBD">
        <w:rPr>
          <w:rFonts w:ascii="Times New Roman" w:hAnsi="Times New Roman"/>
          <w:color w:val="000000"/>
          <w:spacing w:val="-1"/>
          <w:sz w:val="24"/>
          <w:szCs w:val="24"/>
        </w:rPr>
        <w:t>Гормоно заместительная терапия (показа</w:t>
      </w:r>
      <w:r w:rsidRPr="00547EB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47EBD">
        <w:rPr>
          <w:rFonts w:ascii="Times New Roman" w:hAnsi="Times New Roman"/>
          <w:color w:val="000000"/>
          <w:sz w:val="24"/>
          <w:szCs w:val="24"/>
        </w:rPr>
        <w:t xml:space="preserve">ния, механизм действия, дозы, побочные </w:t>
      </w:r>
      <w:r w:rsidRPr="00547EBD">
        <w:rPr>
          <w:rFonts w:ascii="Times New Roman" w:hAnsi="Times New Roman"/>
          <w:color w:val="000000"/>
          <w:spacing w:val="-1"/>
          <w:sz w:val="24"/>
          <w:szCs w:val="24"/>
        </w:rPr>
        <w:t xml:space="preserve">реакции). </w:t>
      </w:r>
      <w:r w:rsidRPr="00547EBD">
        <w:rPr>
          <w:rFonts w:ascii="Times New Roman" w:hAnsi="Times New Roman"/>
          <w:color w:val="000000"/>
          <w:sz w:val="24"/>
          <w:szCs w:val="24"/>
        </w:rPr>
        <w:t>Гиполипидемические препараты (показа</w:t>
      </w:r>
      <w:r w:rsidRPr="00547EBD">
        <w:rPr>
          <w:rFonts w:ascii="Times New Roman" w:hAnsi="Times New Roman"/>
          <w:color w:val="000000"/>
          <w:sz w:val="24"/>
          <w:szCs w:val="24"/>
        </w:rPr>
        <w:softHyphen/>
        <w:t xml:space="preserve">ния, механизм действия, дозы, побочные </w:t>
      </w:r>
      <w:r w:rsidRPr="00547EBD">
        <w:rPr>
          <w:rFonts w:ascii="Times New Roman" w:hAnsi="Times New Roman"/>
          <w:color w:val="000000"/>
          <w:spacing w:val="-1"/>
          <w:sz w:val="24"/>
          <w:szCs w:val="24"/>
        </w:rPr>
        <w:t xml:space="preserve">реакции). Препараты, не применяющиеся для лечения </w:t>
      </w:r>
      <w:r w:rsidRPr="00547EBD">
        <w:rPr>
          <w:rFonts w:ascii="Times New Roman" w:hAnsi="Times New Roman"/>
          <w:color w:val="000000"/>
          <w:spacing w:val="1"/>
          <w:sz w:val="24"/>
          <w:szCs w:val="24"/>
        </w:rPr>
        <w:t xml:space="preserve">ожирения, БАД. </w:t>
      </w:r>
      <w:r w:rsidRPr="00547EBD">
        <w:rPr>
          <w:rFonts w:ascii="Times New Roman" w:hAnsi="Times New Roman"/>
          <w:color w:val="000000"/>
          <w:sz w:val="24"/>
          <w:szCs w:val="24"/>
        </w:rPr>
        <w:t xml:space="preserve">Хирургические методы лечения ожирения </w:t>
      </w:r>
      <w:r w:rsidRPr="00547EBD">
        <w:rPr>
          <w:rFonts w:ascii="Times New Roman" w:hAnsi="Times New Roman"/>
          <w:color w:val="000000"/>
          <w:spacing w:val="-1"/>
          <w:sz w:val="24"/>
          <w:szCs w:val="24"/>
        </w:rPr>
        <w:t>(общие принципы, показания, противопока</w:t>
      </w:r>
      <w:r w:rsidRPr="00547EBD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зания). </w:t>
      </w:r>
      <w:r w:rsidRPr="00547EBD">
        <w:rPr>
          <w:rFonts w:ascii="Times New Roman" w:hAnsi="Times New Roman"/>
          <w:color w:val="000000"/>
          <w:spacing w:val="-2"/>
          <w:sz w:val="24"/>
          <w:szCs w:val="24"/>
        </w:rPr>
        <w:t xml:space="preserve">Липосакция. </w:t>
      </w:r>
      <w:r w:rsidRPr="00547EBD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Гастробулирование. Эндоскопическая перетяжка желудка. Гастрошунтирование. Гастропластика. Прогноз. МСЭ. Санаторно-курортное лечение ожирения. Критерии успешного лечения ожирения.</w:t>
      </w:r>
    </w:p>
    <w:p w:rsidR="00174A2F" w:rsidRPr="00547EBD" w:rsidRDefault="00174A2F" w:rsidP="00547EBD">
      <w:pPr>
        <w:pStyle w:val="a8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547EBD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  <w:r w:rsidR="00547EBD" w:rsidRPr="00547EBD">
        <w:rPr>
          <w:rFonts w:ascii="Times New Roman" w:hAnsi="Times New Roman"/>
          <w:color w:val="000000"/>
          <w:spacing w:val="-6"/>
          <w:sz w:val="24"/>
          <w:szCs w:val="24"/>
        </w:rPr>
        <w:t>Лечение ожирения.</w:t>
      </w:r>
    </w:p>
    <w:p w:rsidR="00174A2F" w:rsidRPr="00547EBD" w:rsidRDefault="00174A2F" w:rsidP="00DD6559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7EBD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174A2F" w:rsidRPr="00547EBD" w:rsidRDefault="00174A2F" w:rsidP="00DD6559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7EBD">
        <w:rPr>
          <w:rFonts w:ascii="Times New Roman" w:hAnsi="Times New Roman"/>
          <w:sz w:val="24"/>
          <w:szCs w:val="24"/>
        </w:rPr>
        <w:t xml:space="preserve"> Литература по теме семинара:</w:t>
      </w:r>
    </w:p>
    <w:p w:rsidR="00174A2F" w:rsidRPr="00547EBD" w:rsidRDefault="00174A2F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74A2F" w:rsidRPr="00547EBD" w:rsidRDefault="00174A2F" w:rsidP="009E5B06">
      <w:pPr>
        <w:pStyle w:val="a8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47EBD">
        <w:rPr>
          <w:rFonts w:ascii="Times New Roman" w:hAnsi="Times New Roman"/>
          <w:sz w:val="24"/>
          <w:szCs w:val="24"/>
        </w:rPr>
        <w:t>Аметов  А.С.Избранные лекции по эндокринологии. – М.: ООО «МИА», 2009. – 496 с.</w:t>
      </w:r>
    </w:p>
    <w:p w:rsidR="00174A2F" w:rsidRPr="00547EBD" w:rsidRDefault="00174A2F" w:rsidP="00547EBD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47EBD">
        <w:rPr>
          <w:rFonts w:ascii="Times New Roman" w:hAnsi="Times New Roman"/>
          <w:color w:val="000000"/>
          <w:sz w:val="24"/>
          <w:szCs w:val="24"/>
        </w:rPr>
        <w:t>Гипоталамо-гипофизарные синдромы: учебно-методическое пособие/ Г. Н. Варварина, Г. П. Рунов; Нижегородская государственная медицинская академия (Нижний Новгород). - Н. Новгород: НГМА, 2005. - 53 с. </w:t>
      </w:r>
    </w:p>
    <w:p w:rsidR="00174A2F" w:rsidRPr="00547EBD" w:rsidRDefault="00174A2F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47EB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174A2F" w:rsidRPr="00547EBD" w:rsidRDefault="00174A2F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47EBD">
        <w:rPr>
          <w:rFonts w:ascii="Times New Roman" w:hAnsi="Times New Roman"/>
          <w:color w:val="000000"/>
          <w:sz w:val="24"/>
          <w:szCs w:val="24"/>
        </w:rPr>
        <w:t>Диффузный токсический зоб: комплексная диагностика, консервативная терапия, хирургическое лечение/ Е. М. Трунин; Санкт-Петербургская акад. последиплом. образования (СПб.). - СПб.: ЭЛБИ-СПб, 2006. - 181 с.</w:t>
      </w:r>
    </w:p>
    <w:p w:rsidR="00174A2F" w:rsidRPr="00547EBD" w:rsidRDefault="00174A2F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47EBD">
        <w:rPr>
          <w:rFonts w:ascii="Times New Roman" w:hAnsi="Times New Roman"/>
          <w:color w:val="000000"/>
          <w:sz w:val="24"/>
          <w:szCs w:val="24"/>
        </w:rPr>
        <w:t>Диагностический справочник эндокринолога: справочное издание/ Т. В. Гитун ; рец. Ю. Ю. Елисеев. - М.: АСТ, 2007. - 608 с. </w:t>
      </w:r>
    </w:p>
    <w:p w:rsidR="00174A2F" w:rsidRPr="00547EBD" w:rsidRDefault="00174A2F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47EB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547EBD">
        <w:rPr>
          <w:rFonts w:ascii="Times New Roman" w:hAnsi="Times New Roman"/>
          <w:color w:val="000000"/>
          <w:sz w:val="24"/>
          <w:szCs w:val="24"/>
        </w:rPr>
        <w:t>= Evadence-based endocrinology: руководство для врачей : пер. с англ./ Х. С. Абу-Лебдех [и др.] ; под ред. Полайн М. Камачо, Хоссейн Гариба, Глен В. Сайзмо. - 2-е изд. - М.: ГЭОТАР-МЕДИА, 2008. - 631 с.</w:t>
      </w:r>
    </w:p>
    <w:p w:rsidR="00174A2F" w:rsidRPr="00547EBD" w:rsidRDefault="00174A2F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47EB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547EB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547EB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547EBD">
        <w:rPr>
          <w:rFonts w:ascii="Times New Roman" w:hAnsi="Times New Roman"/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с.</w:t>
      </w:r>
    </w:p>
    <w:p w:rsidR="00174A2F" w:rsidRPr="00547EBD" w:rsidRDefault="00174A2F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47EB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Метаболический синдром у</w:t>
      </w:r>
      <w:r w:rsidRPr="00547EBD">
        <w:rPr>
          <w:rFonts w:ascii="Times New Roman" w:hAnsi="Times New Roman"/>
          <w:color w:val="000000"/>
          <w:sz w:val="24"/>
          <w:szCs w:val="24"/>
        </w:rPr>
        <w:t> женщин (патофизиология и клиника): монография/ Н. А. Беляков [и др.] ; под ред. Н. А. Белякова. - СПб.: СПбМАПО, 2005. - 438 с.</w:t>
      </w:r>
    </w:p>
    <w:p w:rsidR="00174A2F" w:rsidRPr="00547EBD" w:rsidRDefault="00174A2F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47EBD">
        <w:rPr>
          <w:rFonts w:ascii="Times New Roman" w:hAnsi="Times New Roman"/>
          <w:color w:val="000000"/>
          <w:sz w:val="24"/>
          <w:szCs w:val="24"/>
        </w:rPr>
        <w:t>Метаболический синдром: научное издание/ В. И. Маколкин. - М.: МИА, 2010. - 144 с.</w:t>
      </w:r>
    </w:p>
    <w:p w:rsidR="00174A2F" w:rsidRPr="00547EBD" w:rsidRDefault="00174A2F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47EB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547EBD">
        <w:rPr>
          <w:rFonts w:ascii="Times New Roman" w:hAnsi="Times New Roman"/>
          <w:color w:val="000000"/>
          <w:sz w:val="24"/>
          <w:szCs w:val="24"/>
        </w:rPr>
        <w:t>: научное издание/ под ред. В. Фонсеки ; пер. с англ.: Н. А. Михайловой, Н. В. Первуховой, Н. А. Федоровой ; ред. перевода Т. В. Мелешенко. - М.: Практика, 2011. - 272 с.</w:t>
      </w:r>
    </w:p>
    <w:p w:rsidR="00174A2F" w:rsidRPr="00547EBD" w:rsidRDefault="00174A2F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47EB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547EB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547EB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547EBD">
        <w:rPr>
          <w:rFonts w:ascii="Times New Roman" w:hAnsi="Times New Roman"/>
          <w:color w:val="000000"/>
          <w:sz w:val="24"/>
          <w:szCs w:val="24"/>
        </w:rPr>
        <w:t>: учебное пособие/ пер. с англ. под ред. Г. А. Мельниченко. - 2-е изд. - М.: Гэотар Медиа, 2008. - 117 с.</w:t>
      </w:r>
    </w:p>
    <w:p w:rsidR="00174A2F" w:rsidRPr="00547EBD" w:rsidRDefault="00174A2F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47EBD">
        <w:rPr>
          <w:rFonts w:ascii="Times New Roman" w:hAnsi="Times New Roman"/>
          <w:color w:val="000000"/>
          <w:sz w:val="24"/>
          <w:szCs w:val="24"/>
        </w:rPr>
        <w:t>Патофизиология эндокринной системы: монография/ В. М. Кэттайл, Р. А. Арки ; под общ. ред. Ю. В. Наточина. - М.: БИНОМ, 2007. - 335 с.</w:t>
      </w:r>
    </w:p>
    <w:p w:rsidR="00174A2F" w:rsidRPr="00547EBD" w:rsidRDefault="00174A2F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547EB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547EB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547EB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547EBD">
        <w:rPr>
          <w:rFonts w:ascii="Times New Roman" w:hAnsi="Times New Roman"/>
          <w:color w:val="000000"/>
          <w:sz w:val="24"/>
          <w:szCs w:val="24"/>
        </w:rPr>
        <w:t>И</w:t>
      </w:r>
      <w:r w:rsidRPr="00547EB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547EBD">
        <w:rPr>
          <w:rFonts w:ascii="Times New Roman" w:hAnsi="Times New Roman"/>
          <w:color w:val="000000"/>
          <w:sz w:val="24"/>
          <w:szCs w:val="24"/>
        </w:rPr>
        <w:t>Дедова</w:t>
      </w:r>
      <w:r w:rsidRPr="00547EB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547EBD">
        <w:rPr>
          <w:rFonts w:ascii="Times New Roman" w:hAnsi="Times New Roman"/>
          <w:color w:val="000000"/>
          <w:sz w:val="24"/>
          <w:szCs w:val="24"/>
        </w:rPr>
        <w:t>Г</w:t>
      </w:r>
      <w:r w:rsidRPr="00547EB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547EBD">
        <w:rPr>
          <w:rFonts w:ascii="Times New Roman" w:hAnsi="Times New Roman"/>
          <w:color w:val="000000"/>
          <w:sz w:val="24"/>
          <w:szCs w:val="24"/>
        </w:rPr>
        <w:t>А</w:t>
      </w:r>
      <w:r w:rsidRPr="00547EB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547EB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547EB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547EB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547EB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547EBD">
        <w:rPr>
          <w:rFonts w:ascii="Times New Roman" w:hAnsi="Times New Roman"/>
          <w:color w:val="000000"/>
          <w:sz w:val="24"/>
          <w:szCs w:val="24"/>
        </w:rPr>
        <w:t>Е</w:t>
      </w:r>
      <w:r w:rsidRPr="00547EB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547EBD">
        <w:rPr>
          <w:rFonts w:ascii="Times New Roman" w:hAnsi="Times New Roman"/>
          <w:color w:val="000000"/>
          <w:sz w:val="24"/>
          <w:szCs w:val="24"/>
        </w:rPr>
        <w:t>Н</w:t>
      </w:r>
      <w:r w:rsidRPr="00547EB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547EBD">
        <w:rPr>
          <w:rFonts w:ascii="Times New Roman" w:hAnsi="Times New Roman"/>
          <w:color w:val="000000"/>
          <w:sz w:val="24"/>
          <w:szCs w:val="24"/>
        </w:rPr>
        <w:t>Гринева</w:t>
      </w:r>
      <w:r w:rsidRPr="00547EB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547EBD">
        <w:rPr>
          <w:rFonts w:ascii="Times New Roman" w:hAnsi="Times New Roman"/>
          <w:color w:val="000000"/>
          <w:sz w:val="24"/>
          <w:szCs w:val="24"/>
        </w:rPr>
        <w:t>Е</w:t>
      </w:r>
      <w:r w:rsidRPr="00547EB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547EBD">
        <w:rPr>
          <w:rFonts w:ascii="Times New Roman" w:hAnsi="Times New Roman"/>
          <w:color w:val="000000"/>
          <w:sz w:val="24"/>
          <w:szCs w:val="24"/>
        </w:rPr>
        <w:t>И</w:t>
      </w:r>
      <w:r w:rsidRPr="00547EB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547EBD">
        <w:rPr>
          <w:rFonts w:ascii="Times New Roman" w:hAnsi="Times New Roman"/>
          <w:color w:val="000000"/>
          <w:sz w:val="24"/>
          <w:szCs w:val="24"/>
        </w:rPr>
        <w:t>Марова</w:t>
      </w:r>
      <w:r w:rsidRPr="00547EB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therary of endocrine system and metabolic disorders: a guidebook for medical practitioners/ I.I. Dedov, G.A. Melnichenko. - </w:t>
      </w:r>
      <w:r w:rsidRPr="00547EBD">
        <w:rPr>
          <w:rFonts w:ascii="Times New Roman" w:hAnsi="Times New Roman"/>
          <w:color w:val="000000"/>
          <w:sz w:val="24"/>
          <w:szCs w:val="24"/>
        </w:rPr>
        <w:t>М</w:t>
      </w:r>
      <w:r w:rsidRPr="00547EBD">
        <w:rPr>
          <w:rFonts w:ascii="Times New Roman" w:hAnsi="Times New Roman"/>
          <w:color w:val="000000"/>
          <w:sz w:val="24"/>
          <w:szCs w:val="24"/>
          <w:lang w:val="en-US"/>
        </w:rPr>
        <w:t xml:space="preserve">.: </w:t>
      </w:r>
      <w:r w:rsidRPr="00547EBD">
        <w:rPr>
          <w:rFonts w:ascii="Times New Roman" w:hAnsi="Times New Roman"/>
          <w:color w:val="000000"/>
          <w:sz w:val="24"/>
          <w:szCs w:val="24"/>
        </w:rPr>
        <w:t>Литтерра</w:t>
      </w:r>
      <w:r w:rsidRPr="00547EB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547EBD">
        <w:rPr>
          <w:rFonts w:ascii="Times New Roman" w:hAnsi="Times New Roman"/>
          <w:color w:val="000000"/>
          <w:sz w:val="24"/>
          <w:szCs w:val="24"/>
        </w:rPr>
        <w:t>с</w:t>
      </w:r>
      <w:r w:rsidRPr="00547EB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174A2F" w:rsidRPr="00547EBD" w:rsidRDefault="00174A2F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47EB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547EB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 : compendium: научное издание/ С. Д. Арапова [и др.] ; под ред.: И. И. Дедова, Г. А. Мельниченко. - М.: Литтерра, 2008. - 582 с.</w:t>
      </w:r>
    </w:p>
    <w:p w:rsidR="00174A2F" w:rsidRPr="00547EBD" w:rsidRDefault="00174A2F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47EBD">
        <w:rPr>
          <w:rFonts w:ascii="Times New Roman" w:hAnsi="Times New Roman"/>
          <w:sz w:val="24"/>
          <w:szCs w:val="24"/>
        </w:rPr>
        <w:t>Седлецкий Ю.И. Современные методы лечения ожирения. Руководство для врачей. – СПб, 2007. – 415 с.</w:t>
      </w:r>
    </w:p>
    <w:p w:rsidR="00174A2F" w:rsidRPr="00547EBD" w:rsidRDefault="00174A2F" w:rsidP="009E5B06">
      <w:pPr>
        <w:numPr>
          <w:ilvl w:val="0"/>
          <w:numId w:val="9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47EB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547EB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547EB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547EBD">
        <w:rPr>
          <w:rFonts w:ascii="Times New Roman" w:hAnsi="Times New Roman"/>
          <w:color w:val="000000"/>
          <w:sz w:val="24"/>
          <w:szCs w:val="24"/>
        </w:rPr>
        <w:t>: справочное издание/ под ред.: И. И. Дедова, Г. А. Мельниченко. - М.: Литтерра, 2007. - 301 с.: табл.. - (Библиотека врача общей практики). - (Схемы лечения). - Указатель лекарственных средств: с. 289-301. </w:t>
      </w:r>
    </w:p>
    <w:p w:rsidR="00174A2F" w:rsidRPr="00547EBD" w:rsidRDefault="00174A2F" w:rsidP="009E5B06">
      <w:pPr>
        <w:numPr>
          <w:ilvl w:val="0"/>
          <w:numId w:val="9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47EB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Физиология эндокринной системы</w:t>
      </w:r>
      <w:r w:rsidRPr="00547EBD">
        <w:rPr>
          <w:rFonts w:ascii="Times New Roman" w:hAnsi="Times New Roman"/>
          <w:color w:val="000000"/>
          <w:sz w:val="24"/>
          <w:szCs w:val="24"/>
        </w:rPr>
        <w:t>: учебник/ ред.: Дж. Е. Гриффин, С. Р. Охеда ; пер. 5-го англ. изд. : А. Н. Смирнова, О. В. Смирновой, под ред. А. С. Аметова. - М.: БИНОМ. Лаборатория знаний, 2008. - 496 с.</w:t>
      </w:r>
    </w:p>
    <w:p w:rsidR="00174A2F" w:rsidRPr="00547EBD" w:rsidRDefault="00174A2F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47EB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547EB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547EBD">
        <w:rPr>
          <w:rFonts w:ascii="Times New Roman" w:hAnsi="Times New Roman"/>
          <w:color w:val="000000"/>
          <w:sz w:val="24"/>
          <w:szCs w:val="24"/>
        </w:rPr>
        <w:t>: руководство для врачей/ С. Б. Шустов, Ю. Ш. Халимов, Г. Е. Труфанов. - СПб.: ЭЛБИ-СПб, 2010. - 296 с. </w:t>
      </w:r>
    </w:p>
    <w:p w:rsidR="00174A2F" w:rsidRPr="00547EBD" w:rsidRDefault="00174A2F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47EB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174A2F" w:rsidRPr="00547EBD" w:rsidRDefault="00174A2F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47EB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547EBD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Гэотар Медиа, 2008. - 1064 с.</w:t>
      </w:r>
    </w:p>
    <w:p w:rsidR="00174A2F" w:rsidRPr="00547EBD" w:rsidRDefault="00174A2F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47EB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47EB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174A2F" w:rsidRPr="00547EBD" w:rsidRDefault="00174A2F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47EB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Эндокринология по Дэвидсону</w:t>
      </w:r>
      <w:r w:rsidRPr="00547EBD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 ; пер. с англ. под ред. Г. А. Мельниченко. - М.: РИД ЭЛСИВЕР,</w:t>
      </w:r>
      <w:r w:rsidRPr="00547EB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47EB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47EB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174A2F" w:rsidRPr="00547EBD" w:rsidRDefault="00174A2F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47EB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547EBD">
        <w:rPr>
          <w:rFonts w:ascii="Times New Roman" w:hAnsi="Times New Roman"/>
          <w:color w:val="000000"/>
          <w:sz w:val="24"/>
          <w:szCs w:val="24"/>
        </w:rPr>
        <w:t>: справочник практикующего врача/ Г. Шенфилд [и др.] ; науч. ред. рус. издания Г. А. Мельниченко ; пер. с англ.: А. Н. Редькин, Д. Е. Колода. - М.: Литтерра, 2005. - 381 с.</w:t>
      </w:r>
    </w:p>
    <w:p w:rsidR="00174A2F" w:rsidRPr="00547EBD" w:rsidRDefault="00174A2F" w:rsidP="009E5B06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4A2F" w:rsidRPr="00547EBD" w:rsidRDefault="00174A2F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74A2F" w:rsidRPr="00547EBD" w:rsidRDefault="00174A2F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74A2F" w:rsidRPr="00547EBD" w:rsidRDefault="00174A2F" w:rsidP="009E5B06">
      <w:pPr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547EBD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sectPr w:rsidR="00174A2F" w:rsidRPr="00547EB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6C2" w:rsidRDefault="00D826C2" w:rsidP="006B3110">
      <w:pPr>
        <w:spacing w:after="0" w:line="240" w:lineRule="auto"/>
      </w:pPr>
      <w:r>
        <w:separator/>
      </w:r>
    </w:p>
  </w:endnote>
  <w:endnote w:type="continuationSeparator" w:id="0">
    <w:p w:rsidR="00D826C2" w:rsidRDefault="00D826C2" w:rsidP="006B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6C2" w:rsidRDefault="00D826C2" w:rsidP="006B3110">
      <w:pPr>
        <w:spacing w:after="0" w:line="240" w:lineRule="auto"/>
      </w:pPr>
      <w:r>
        <w:separator/>
      </w:r>
    </w:p>
  </w:footnote>
  <w:footnote w:type="continuationSeparator" w:id="0">
    <w:p w:rsidR="00D826C2" w:rsidRDefault="00D826C2" w:rsidP="006B3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D4B39"/>
    <w:multiLevelType w:val="hybridMultilevel"/>
    <w:tmpl w:val="5268E628"/>
    <w:lvl w:ilvl="0" w:tplc="69706D74">
      <w:start w:val="8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0503B8E"/>
    <w:multiLevelType w:val="hybridMultilevel"/>
    <w:tmpl w:val="DEF033CA"/>
    <w:lvl w:ilvl="0" w:tplc="9EEE9F8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6835769"/>
    <w:multiLevelType w:val="hybridMultilevel"/>
    <w:tmpl w:val="3ABEE1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41382"/>
    <w:rsid w:val="000659A9"/>
    <w:rsid w:val="000A49AA"/>
    <w:rsid w:val="00115763"/>
    <w:rsid w:val="00174A2F"/>
    <w:rsid w:val="001E69A5"/>
    <w:rsid w:val="002234FE"/>
    <w:rsid w:val="002B593B"/>
    <w:rsid w:val="002B691F"/>
    <w:rsid w:val="002D0F77"/>
    <w:rsid w:val="002E6C7A"/>
    <w:rsid w:val="00362F60"/>
    <w:rsid w:val="00384FAE"/>
    <w:rsid w:val="003A0B1B"/>
    <w:rsid w:val="0042679A"/>
    <w:rsid w:val="00475020"/>
    <w:rsid w:val="004B1172"/>
    <w:rsid w:val="004D220A"/>
    <w:rsid w:val="004E54B7"/>
    <w:rsid w:val="00547EBD"/>
    <w:rsid w:val="00601EFB"/>
    <w:rsid w:val="00606612"/>
    <w:rsid w:val="00611B3D"/>
    <w:rsid w:val="00615348"/>
    <w:rsid w:val="006B297A"/>
    <w:rsid w:val="006B3110"/>
    <w:rsid w:val="00787F16"/>
    <w:rsid w:val="007A592A"/>
    <w:rsid w:val="007C7B0D"/>
    <w:rsid w:val="00844036"/>
    <w:rsid w:val="008B5A9F"/>
    <w:rsid w:val="008D2E8E"/>
    <w:rsid w:val="00997D3C"/>
    <w:rsid w:val="009E5B06"/>
    <w:rsid w:val="00A561C6"/>
    <w:rsid w:val="00BB2EA4"/>
    <w:rsid w:val="00C16E39"/>
    <w:rsid w:val="00CA2B42"/>
    <w:rsid w:val="00CD3515"/>
    <w:rsid w:val="00D06AB0"/>
    <w:rsid w:val="00D7454E"/>
    <w:rsid w:val="00D826C2"/>
    <w:rsid w:val="00D93300"/>
    <w:rsid w:val="00DD6559"/>
    <w:rsid w:val="00E25159"/>
    <w:rsid w:val="00E26201"/>
    <w:rsid w:val="00EA671D"/>
    <w:rsid w:val="00EB4E1D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5E0C77-FB3D-4C44-AB6F-8C4876A0F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header"/>
    <w:basedOn w:val="a"/>
    <w:link w:val="aa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d">
    <w:name w:val="No Spacing"/>
    <w:uiPriority w:val="1"/>
    <w:qFormat/>
    <w:rsid w:val="00547EB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6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2018-11-26T17:25:00Z</dcterms:created>
  <dcterms:modified xsi:type="dcterms:W3CDTF">2018-11-26T17:25:00Z</dcterms:modified>
</cp:coreProperties>
</file>